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Subsecretaría de Participación Ciudadana</w:t>
      </w:r>
    </w:p>
    <w:p w:rsidR="00000000" w:rsidDel="00000000" w:rsidP="00000000" w:rsidRDefault="00000000" w:rsidRPr="00000000" w14:paraId="00000002">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Curso de prevención de las violencias en el ámbito deportivo</w:t>
      </w:r>
    </w:p>
    <w:p w:rsidR="00000000" w:rsidDel="00000000" w:rsidP="00000000" w:rsidRDefault="00000000" w:rsidRPr="00000000" w14:paraId="00000003">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Descripción</w:t>
      </w:r>
      <w:r w:rsidDel="00000000" w:rsidR="00000000" w:rsidRPr="00000000">
        <w:rPr>
          <w:rFonts w:ascii="Arial" w:cs="Arial" w:eastAsia="Arial" w:hAnsi="Arial"/>
          <w:rtl w:val="0"/>
        </w:rPr>
        <w:t xml:space="preserve"> : La capacitación propone abordar la prevención de las violencias en el ámbito deportivo desde una perspectiva integral y comunitaria. Reconoce al deporte como una herramienta clave de desarrollo social, promotora de valores como la convivencia, la inclusión, la cooperación y la resolución pacífica de conflictos. El curso ofrece un espacio de intercambio y reflexión para identificar situaciones de violencia, fortalecer la comunicación y la empatía, y brindar herramientas para la intervención preventiva en contextos deportivos.</w:t>
      </w:r>
    </w:p>
    <w:p w:rsidR="00000000" w:rsidDel="00000000" w:rsidP="00000000" w:rsidRDefault="00000000" w:rsidRPr="00000000" w14:paraId="00000004">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Destinatarios:</w:t>
      </w:r>
      <w:r w:rsidDel="00000000" w:rsidR="00000000" w:rsidRPr="00000000">
        <w:rPr>
          <w:rFonts w:ascii="Arial" w:cs="Arial" w:eastAsia="Arial" w:hAnsi="Arial"/>
          <w:rtl w:val="0"/>
        </w:rPr>
        <w:t xml:space="preserve"> Personal docente y no docente; directivos, técnicos, entrenadores, deportistas y formadores de ámbitos deportivos; trabajadores de la administración pública; fuerzas de seguridad; agentes municipales, provinciales y/o nacionales; público en general.</w:t>
      </w:r>
    </w:p>
    <w:p w:rsidR="00000000" w:rsidDel="00000000" w:rsidP="00000000" w:rsidRDefault="00000000" w:rsidRPr="00000000" w14:paraId="00000005">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Presencial</w:t>
      </w:r>
    </w:p>
    <w:p w:rsidR="00000000" w:rsidDel="00000000" w:rsidP="00000000" w:rsidRDefault="00000000" w:rsidRPr="00000000" w14:paraId="00000006">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Ediciones</w:t>
      </w:r>
      <w:r w:rsidDel="00000000" w:rsidR="00000000" w:rsidRPr="00000000">
        <w:rPr>
          <w:rFonts w:ascii="Arial" w:cs="Arial" w:eastAsia="Arial" w:hAnsi="Arial"/>
          <w:rtl w:val="0"/>
        </w:rPr>
        <w:t xml:space="preserve">: Dos (2) ediciones anuales</w:t>
      </w:r>
    </w:p>
    <w:p w:rsidR="00000000" w:rsidDel="00000000" w:rsidP="00000000" w:rsidRDefault="00000000" w:rsidRPr="00000000" w14:paraId="00000007">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Fechas tentativas</w:t>
      </w:r>
      <w:r w:rsidDel="00000000" w:rsidR="00000000" w:rsidRPr="00000000">
        <w:rPr>
          <w:rFonts w:ascii="Arial" w:cs="Arial" w:eastAsia="Arial" w:hAnsi="Arial"/>
          <w:rtl w:val="0"/>
        </w:rPr>
        <w:t xml:space="preserve">: • 1.ª edición: 9 de marzo al 30 de mayo de 2026 • 2.ª edición: 3 de agosto al 23 de octubre de 2026</w:t>
      </w:r>
    </w:p>
    <w:p w:rsidR="00000000" w:rsidDel="00000000" w:rsidP="00000000" w:rsidRDefault="00000000" w:rsidRPr="00000000" w14:paraId="00000008">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Cupo</w:t>
      </w:r>
      <w:r w:rsidDel="00000000" w:rsidR="00000000" w:rsidRPr="00000000">
        <w:rPr>
          <w:rFonts w:ascii="Arial" w:cs="Arial" w:eastAsia="Arial" w:hAnsi="Arial"/>
          <w:rtl w:val="0"/>
        </w:rPr>
        <w:t xml:space="preserve">: Hasta 30 asistentes</w:t>
      </w:r>
    </w:p>
    <w:p w:rsidR="00000000" w:rsidDel="00000000" w:rsidP="00000000" w:rsidRDefault="00000000" w:rsidRPr="00000000" w14:paraId="00000009">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Contacto</w:t>
      </w:r>
      <w:r w:rsidDel="00000000" w:rsidR="00000000" w:rsidRPr="00000000">
        <w:rPr>
          <w:rFonts w:ascii="Arial" w:cs="Arial" w:eastAsia="Arial" w:hAnsi="Arial"/>
          <w:rtl w:val="0"/>
        </w:rPr>
        <w:t xml:space="preserve">: Tel. (221) 429-3470 · subseparticipacionciudadana@gmail.com</w:t>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line="360" w:lineRule="auto"/>
        <w:jc w:val="both"/>
        <w:rPr>
          <w:rFonts w:ascii="Arial" w:cs="Arial" w:eastAsia="Arial" w:hAnsi="Arial"/>
          <w:sz w:val="34"/>
          <w:szCs w:val="34"/>
        </w:rPr>
      </w:pPr>
      <w:bookmarkStart w:colFirst="0" w:colLast="0" w:name="_heading=h.cyhgai2a8ess" w:id="0"/>
      <w:bookmarkEnd w:id="0"/>
      <w:r w:rsidDel="00000000" w:rsidR="00000000" w:rsidRPr="00000000">
        <w:rPr>
          <w:rFonts w:ascii="Arial" w:cs="Arial" w:eastAsia="Arial" w:hAnsi="Arial"/>
          <w:sz w:val="34"/>
          <w:szCs w:val="34"/>
          <w:rtl w:val="0"/>
        </w:rPr>
        <w:t xml:space="preserve">CURSO 2</w:t>
      </w:r>
    </w:p>
    <w:p w:rsidR="00000000" w:rsidDel="00000000" w:rsidP="00000000" w:rsidRDefault="00000000" w:rsidRPr="00000000" w14:paraId="0000000C">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Área responsable</w:t>
      </w:r>
      <w:r w:rsidDel="00000000" w:rsidR="00000000" w:rsidRPr="00000000">
        <w:rPr>
          <w:rFonts w:ascii="Arial" w:cs="Arial" w:eastAsia="Arial" w:hAnsi="Arial"/>
          <w:rtl w:val="0"/>
        </w:rPr>
        <w:t xml:space="preserve">: Dirección Provincial de Relaciones con la Comunidad – Subsecretaría de Participación Ciudadana</w:t>
      </w:r>
    </w:p>
    <w:p w:rsidR="00000000" w:rsidDel="00000000" w:rsidP="00000000" w:rsidRDefault="00000000" w:rsidRPr="00000000" w14:paraId="0000000D">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Nombre de la capacitación</w:t>
      </w:r>
      <w:r w:rsidDel="00000000" w:rsidR="00000000" w:rsidRPr="00000000">
        <w:rPr>
          <w:rFonts w:ascii="Arial" w:cs="Arial" w:eastAsia="Arial" w:hAnsi="Arial"/>
          <w:rtl w:val="0"/>
        </w:rPr>
        <w:t xml:space="preserve">: Taller de prevención y abordaje de conflictos</w:t>
      </w:r>
    </w:p>
    <w:p w:rsidR="00000000" w:rsidDel="00000000" w:rsidP="00000000" w:rsidRDefault="00000000" w:rsidRPr="00000000" w14:paraId="0000000E">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Descripción</w:t>
      </w:r>
      <w:r w:rsidDel="00000000" w:rsidR="00000000" w:rsidRPr="00000000">
        <w:rPr>
          <w:rFonts w:ascii="Arial" w:cs="Arial" w:eastAsia="Arial" w:hAnsi="Arial"/>
          <w:rtl w:val="0"/>
        </w:rPr>
        <w:t xml:space="preserve">: El taller aborda los conflictos interpersonales como parte inherente de la vida social, desde una mirada integral que prioriza la prevención de las violencias. Se propone comprender la complejidad de los conflictos, sus procesos de conformación y escalamiento, incorporando herramientas vinculadas a la comunicación, las emociones, la empatía y la resolución pacífica. El espacio promueve el intercambio de experiencias y la adquisición de estrategias para la intervención en ámbitos sociales e institucionales.</w:t>
      </w:r>
    </w:p>
    <w:p w:rsidR="00000000" w:rsidDel="00000000" w:rsidP="00000000" w:rsidRDefault="00000000" w:rsidRPr="00000000" w14:paraId="0000000F">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Destinatarios</w:t>
      </w:r>
      <w:r w:rsidDel="00000000" w:rsidR="00000000" w:rsidRPr="00000000">
        <w:rPr>
          <w:rFonts w:ascii="Arial" w:cs="Arial" w:eastAsia="Arial" w:hAnsi="Arial"/>
          <w:rtl w:val="0"/>
        </w:rPr>
        <w:t xml:space="preserve">: Personal docente y no docente; directivos, técnicos, entrenadores y formadores; trabajadores de la administración pública; fuerzas de seguridad; agentes municipales, provinciales y/o nacionales; público en general.</w:t>
      </w:r>
    </w:p>
    <w:p w:rsidR="00000000" w:rsidDel="00000000" w:rsidP="00000000" w:rsidRDefault="00000000" w:rsidRPr="00000000" w14:paraId="00000010">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Presencial</w:t>
      </w:r>
    </w:p>
    <w:p w:rsidR="00000000" w:rsidDel="00000000" w:rsidP="00000000" w:rsidRDefault="00000000" w:rsidRPr="00000000" w14:paraId="0000001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Carga horaria: 1 encuentro de 2 horas reloj (3 horas cátedra)</w:t>
      </w:r>
    </w:p>
    <w:p w:rsidR="00000000" w:rsidDel="00000000" w:rsidP="00000000" w:rsidRDefault="00000000" w:rsidRPr="00000000" w14:paraId="00000012">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Ediciones</w:t>
      </w:r>
      <w:r w:rsidDel="00000000" w:rsidR="00000000" w:rsidRPr="00000000">
        <w:rPr>
          <w:rFonts w:ascii="Arial" w:cs="Arial" w:eastAsia="Arial" w:hAnsi="Arial"/>
          <w:rtl w:val="0"/>
        </w:rPr>
        <w:t xml:space="preserve">: A demanda, según requerimientos institucionales</w:t>
      </w:r>
    </w:p>
    <w:p w:rsidR="00000000" w:rsidDel="00000000" w:rsidP="00000000" w:rsidRDefault="00000000" w:rsidRPr="00000000" w14:paraId="00000013">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Cupo</w:t>
      </w:r>
      <w:r w:rsidDel="00000000" w:rsidR="00000000" w:rsidRPr="00000000">
        <w:rPr>
          <w:rFonts w:ascii="Arial" w:cs="Arial" w:eastAsia="Arial" w:hAnsi="Arial"/>
          <w:rtl w:val="0"/>
        </w:rPr>
        <w:t xml:space="preserve">: Hasta 30 asistentes</w:t>
      </w:r>
    </w:p>
    <w:p w:rsidR="00000000" w:rsidDel="00000000" w:rsidP="00000000" w:rsidRDefault="00000000" w:rsidRPr="00000000" w14:paraId="00000014">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Contacto</w:t>
      </w:r>
      <w:r w:rsidDel="00000000" w:rsidR="00000000" w:rsidRPr="00000000">
        <w:rPr>
          <w:rFonts w:ascii="Arial" w:cs="Arial" w:eastAsia="Arial" w:hAnsi="Arial"/>
          <w:rtl w:val="0"/>
        </w:rPr>
        <w:t xml:space="preserve">: Tel. (221) 429-3470 · subseparticipacionciudadana@gmail.com</w:t>
      </w:r>
    </w:p>
    <w:p w:rsidR="00000000" w:rsidDel="00000000" w:rsidP="00000000" w:rsidRDefault="00000000" w:rsidRPr="00000000" w14:paraId="00000015">
      <w:pPr>
        <w:spacing w:after="0" w:line="360"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line="360" w:lineRule="auto"/>
        <w:jc w:val="both"/>
        <w:rPr>
          <w:rFonts w:ascii="Arial" w:cs="Arial" w:eastAsia="Arial" w:hAnsi="Arial"/>
          <w:sz w:val="34"/>
          <w:szCs w:val="34"/>
        </w:rPr>
      </w:pPr>
      <w:bookmarkStart w:colFirst="0" w:colLast="0" w:name="_heading=h.vcs79abbt0kt" w:id="1"/>
      <w:bookmarkEnd w:id="1"/>
      <w:r w:rsidDel="00000000" w:rsidR="00000000" w:rsidRPr="00000000">
        <w:rPr>
          <w:rFonts w:ascii="Arial" w:cs="Arial" w:eastAsia="Arial" w:hAnsi="Arial"/>
          <w:sz w:val="34"/>
          <w:szCs w:val="34"/>
          <w:rtl w:val="0"/>
        </w:rPr>
        <w:t xml:space="preserve">CURSO 3</w:t>
      </w:r>
    </w:p>
    <w:p w:rsidR="00000000" w:rsidDel="00000000" w:rsidP="00000000" w:rsidRDefault="00000000" w:rsidRPr="00000000" w14:paraId="00000017">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Área responsable</w:t>
      </w:r>
      <w:r w:rsidDel="00000000" w:rsidR="00000000" w:rsidRPr="00000000">
        <w:rPr>
          <w:rFonts w:ascii="Arial" w:cs="Arial" w:eastAsia="Arial" w:hAnsi="Arial"/>
          <w:rtl w:val="0"/>
        </w:rPr>
        <w:t xml:space="preserve">: Capacitación conjunta entre la Subsecretaría de Participación Ciudadana y la Subsecretaría de Emergencias</w:t>
      </w:r>
    </w:p>
    <w:p w:rsidR="00000000" w:rsidDel="00000000" w:rsidP="00000000" w:rsidRDefault="00000000" w:rsidRPr="00000000" w14:paraId="00000018">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Nombre de la capacitación</w:t>
      </w:r>
      <w:r w:rsidDel="00000000" w:rsidR="00000000" w:rsidRPr="00000000">
        <w:rPr>
          <w:rFonts w:ascii="Arial" w:cs="Arial" w:eastAsia="Arial" w:hAnsi="Arial"/>
          <w:rtl w:val="0"/>
        </w:rPr>
        <w:t xml:space="preserve">: Curso de formación de instructores en RCP y uso de DEA</w:t>
      </w:r>
    </w:p>
    <w:p w:rsidR="00000000" w:rsidDel="00000000" w:rsidP="00000000" w:rsidRDefault="00000000" w:rsidRPr="00000000" w14:paraId="00000019">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Descripción</w:t>
      </w:r>
      <w:r w:rsidDel="00000000" w:rsidR="00000000" w:rsidRPr="00000000">
        <w:rPr>
          <w:rFonts w:ascii="Arial" w:cs="Arial" w:eastAsia="Arial" w:hAnsi="Arial"/>
          <w:rtl w:val="0"/>
        </w:rPr>
        <w:t xml:space="preserve">: La capacitación forma instructores en reanimación cardiopulmonar (RCP) y uso del desfibrilador externo automático (DEA), con el objetivo de fortalecer la respuesta comunitaria ante emergencias por muerte súbita. Brinda conocimientos actualizados, habilidades prácticas y protocolos basados en evidencia, conforme a guías internacionales, promoviendo comunidades más seguras y preparadas para actuar de manera rápida y eficaz.</w:t>
      </w:r>
    </w:p>
    <w:p w:rsidR="00000000" w:rsidDel="00000000" w:rsidP="00000000" w:rsidRDefault="00000000" w:rsidRPr="00000000" w14:paraId="0000001A">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Destinatarios</w:t>
      </w:r>
      <w:r w:rsidDel="00000000" w:rsidR="00000000" w:rsidRPr="00000000">
        <w:rPr>
          <w:rFonts w:ascii="Arial" w:cs="Arial" w:eastAsia="Arial" w:hAnsi="Arial"/>
          <w:rtl w:val="0"/>
        </w:rPr>
        <w:t xml:space="preserve">: Docentes, estudiantes, personal de instituciones públicas o privadas, entrenadores, deportistas, profesores de educación física, fuerzas de seguridad, integrantes de organizaciones civiles y público en general. Requisito: mayores de 18 años.</w:t>
      </w:r>
    </w:p>
    <w:p w:rsidR="00000000" w:rsidDel="00000000" w:rsidP="00000000" w:rsidRDefault="00000000" w:rsidRPr="00000000" w14:paraId="0000001B">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Bimodal (sincrónica y asincrónica)</w:t>
      </w:r>
    </w:p>
    <w:p w:rsidR="00000000" w:rsidDel="00000000" w:rsidP="00000000" w:rsidRDefault="00000000" w:rsidRPr="00000000" w14:paraId="0000001C">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26 horas reloj (39 horas cátedra)</w:t>
      </w:r>
    </w:p>
    <w:p w:rsidR="00000000" w:rsidDel="00000000" w:rsidP="00000000" w:rsidRDefault="00000000" w:rsidRPr="00000000" w14:paraId="0000001D">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Ediciones</w:t>
      </w:r>
      <w:r w:rsidDel="00000000" w:rsidR="00000000" w:rsidRPr="00000000">
        <w:rPr>
          <w:rFonts w:ascii="Arial" w:cs="Arial" w:eastAsia="Arial" w:hAnsi="Arial"/>
          <w:rtl w:val="0"/>
        </w:rPr>
        <w:t xml:space="preserve">: Dos ediciones anuales, según demanda</w:t>
      </w:r>
    </w:p>
    <w:p w:rsidR="00000000" w:rsidDel="00000000" w:rsidP="00000000" w:rsidRDefault="00000000" w:rsidRPr="00000000" w14:paraId="0000001E">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Fechas tentativas</w:t>
      </w:r>
      <w:r w:rsidDel="00000000" w:rsidR="00000000" w:rsidRPr="00000000">
        <w:rPr>
          <w:rFonts w:ascii="Arial" w:cs="Arial" w:eastAsia="Arial" w:hAnsi="Arial"/>
          <w:rtl w:val="0"/>
        </w:rPr>
        <w:t xml:space="preserve">: • 1.ª edición: 9 de marzo al 30 de mayo de 2026 • 2.ª edición: 3 de agosto al 23 de octubre de 2026</w:t>
      </w:r>
    </w:p>
    <w:p w:rsidR="00000000" w:rsidDel="00000000" w:rsidP="00000000" w:rsidRDefault="00000000" w:rsidRPr="00000000" w14:paraId="0000001F">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Contacto</w:t>
      </w:r>
      <w:r w:rsidDel="00000000" w:rsidR="00000000" w:rsidRPr="00000000">
        <w:rPr>
          <w:rFonts w:ascii="Arial" w:cs="Arial" w:eastAsia="Arial" w:hAnsi="Arial"/>
          <w:rtl w:val="0"/>
        </w:rPr>
        <w:t xml:space="preserve">: Tel. (221) 429-3470 · subseparticipacionciudadana@gmail.com</w:t>
      </w:r>
    </w:p>
    <w:p w:rsidR="00000000" w:rsidDel="00000000" w:rsidP="00000000" w:rsidRDefault="00000000" w:rsidRPr="00000000" w14:paraId="00000020">
      <w:pPr>
        <w:spacing w:after="0" w:line="360"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line="360" w:lineRule="auto"/>
        <w:jc w:val="both"/>
        <w:rPr>
          <w:rFonts w:ascii="Arial" w:cs="Arial" w:eastAsia="Arial" w:hAnsi="Arial"/>
          <w:sz w:val="34"/>
          <w:szCs w:val="34"/>
        </w:rPr>
      </w:pPr>
      <w:bookmarkStart w:colFirst="0" w:colLast="0" w:name="_heading=h.5k6ieks9mvxq" w:id="2"/>
      <w:bookmarkEnd w:id="2"/>
      <w:r w:rsidDel="00000000" w:rsidR="00000000" w:rsidRPr="00000000">
        <w:rPr>
          <w:rFonts w:ascii="Arial" w:cs="Arial" w:eastAsia="Arial" w:hAnsi="Arial"/>
          <w:sz w:val="34"/>
          <w:szCs w:val="34"/>
          <w:rtl w:val="0"/>
        </w:rPr>
        <w:t xml:space="preserve">CURSO 4</w:t>
      </w:r>
    </w:p>
    <w:p w:rsidR="00000000" w:rsidDel="00000000" w:rsidP="00000000" w:rsidRDefault="00000000" w:rsidRPr="00000000" w14:paraId="00000022">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Área responsable</w:t>
      </w:r>
      <w:r w:rsidDel="00000000" w:rsidR="00000000" w:rsidRPr="00000000">
        <w:rPr>
          <w:rFonts w:ascii="Arial" w:cs="Arial" w:eastAsia="Arial" w:hAnsi="Arial"/>
          <w:rtl w:val="0"/>
        </w:rPr>
        <w:t xml:space="preserve">: Dirección Provincial de Relaciones con la Comunidad – Subsecretaría de Participación Ciudadana</w:t>
      </w:r>
    </w:p>
    <w:p w:rsidR="00000000" w:rsidDel="00000000" w:rsidP="00000000" w:rsidRDefault="00000000" w:rsidRPr="00000000" w14:paraId="00000023">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Nombre de la capacitación</w:t>
      </w:r>
      <w:r w:rsidDel="00000000" w:rsidR="00000000" w:rsidRPr="00000000">
        <w:rPr>
          <w:rFonts w:ascii="Arial" w:cs="Arial" w:eastAsia="Arial" w:hAnsi="Arial"/>
          <w:rtl w:val="0"/>
        </w:rPr>
        <w:t xml:space="preserve">: Jornada de prevención de ciberdelitos</w:t>
      </w:r>
    </w:p>
    <w:p w:rsidR="00000000" w:rsidDel="00000000" w:rsidP="00000000" w:rsidRDefault="00000000" w:rsidRPr="00000000" w14:paraId="00000024">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Descripción</w:t>
      </w:r>
      <w:r w:rsidDel="00000000" w:rsidR="00000000" w:rsidRPr="00000000">
        <w:rPr>
          <w:rFonts w:ascii="Arial" w:cs="Arial" w:eastAsia="Arial" w:hAnsi="Arial"/>
          <w:rtl w:val="0"/>
        </w:rPr>
        <w:t xml:space="preserve">: La jornada propone fortalecer las capacidades de la ciudadanía para interactuar de forma segura en entornos digitales, abordando la prevención de los ciberdelitos desde una perspectiva educativa, tecnológica y legal. Se promueve la concientización sobre los riesgos digitales y la importancia de la educación como herramienta central de prevención, brindando herramientas para la identificación e intervención ante situaciones de riesgo.</w:t>
      </w:r>
    </w:p>
    <w:p w:rsidR="00000000" w:rsidDel="00000000" w:rsidP="00000000" w:rsidRDefault="00000000" w:rsidRPr="00000000" w14:paraId="00000025">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Destinatarios</w:t>
      </w:r>
      <w:r w:rsidDel="00000000" w:rsidR="00000000" w:rsidRPr="00000000">
        <w:rPr>
          <w:rFonts w:ascii="Arial" w:cs="Arial" w:eastAsia="Arial" w:hAnsi="Arial"/>
          <w:rtl w:val="0"/>
        </w:rPr>
        <w:t xml:space="preserve">: Personal docente y no docente; trabajadores de la administración pública; fuerzas de seguridad; agentes municipales, provinciales y/o nacionales; público en general.</w:t>
      </w:r>
    </w:p>
    <w:p w:rsidR="00000000" w:rsidDel="00000000" w:rsidP="00000000" w:rsidRDefault="00000000" w:rsidRPr="00000000" w14:paraId="00000026">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Presencial</w:t>
      </w:r>
    </w:p>
    <w:p w:rsidR="00000000" w:rsidDel="00000000" w:rsidP="00000000" w:rsidRDefault="00000000" w:rsidRPr="00000000" w14:paraId="00000027">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2 horas reloj (3 horas cátedra)</w:t>
      </w:r>
    </w:p>
    <w:p w:rsidR="00000000" w:rsidDel="00000000" w:rsidP="00000000" w:rsidRDefault="00000000" w:rsidRPr="00000000" w14:paraId="00000028">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Ediciones</w:t>
      </w:r>
      <w:r w:rsidDel="00000000" w:rsidR="00000000" w:rsidRPr="00000000">
        <w:rPr>
          <w:rFonts w:ascii="Arial" w:cs="Arial" w:eastAsia="Arial" w:hAnsi="Arial"/>
          <w:rtl w:val="0"/>
        </w:rPr>
        <w:t xml:space="preserve">: A demanda, entre marzo y diciembre</w:t>
      </w:r>
    </w:p>
    <w:p w:rsidR="00000000" w:rsidDel="00000000" w:rsidP="00000000" w:rsidRDefault="00000000" w:rsidRPr="00000000" w14:paraId="00000029">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Cupo</w:t>
      </w:r>
      <w:r w:rsidDel="00000000" w:rsidR="00000000" w:rsidRPr="00000000">
        <w:rPr>
          <w:rFonts w:ascii="Arial" w:cs="Arial" w:eastAsia="Arial" w:hAnsi="Arial"/>
          <w:rtl w:val="0"/>
        </w:rPr>
        <w:t xml:space="preserve">: Hasta 30 asistentes</w:t>
      </w:r>
    </w:p>
    <w:p w:rsidR="00000000" w:rsidDel="00000000" w:rsidP="00000000" w:rsidRDefault="00000000" w:rsidRPr="00000000" w14:paraId="0000002A">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Contacto</w:t>
      </w:r>
      <w:r w:rsidDel="00000000" w:rsidR="00000000" w:rsidRPr="00000000">
        <w:rPr>
          <w:rFonts w:ascii="Arial" w:cs="Arial" w:eastAsia="Arial" w:hAnsi="Arial"/>
          <w:rtl w:val="0"/>
        </w:rPr>
        <w:t xml:space="preserve">: Tel. (221) 429-3470 · subseparticipacionciudadana@gmail.com</w:t>
      </w:r>
    </w:p>
    <w:p w:rsidR="00000000" w:rsidDel="00000000" w:rsidP="00000000" w:rsidRDefault="00000000" w:rsidRPr="00000000" w14:paraId="0000002B">
      <w:pPr>
        <w:spacing w:after="0" w:line="360" w:lineRule="auto"/>
        <w:jc w:val="both"/>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line="360" w:lineRule="auto"/>
        <w:jc w:val="both"/>
        <w:rPr>
          <w:rFonts w:ascii="Arial" w:cs="Arial" w:eastAsia="Arial" w:hAnsi="Arial"/>
          <w:sz w:val="34"/>
          <w:szCs w:val="34"/>
        </w:rPr>
      </w:pPr>
      <w:bookmarkStart w:colFirst="0" w:colLast="0" w:name="_heading=h.drw874jei2rn" w:id="3"/>
      <w:bookmarkEnd w:id="3"/>
      <w:r w:rsidDel="00000000" w:rsidR="00000000" w:rsidRPr="00000000">
        <w:rPr>
          <w:rFonts w:ascii="Arial" w:cs="Arial" w:eastAsia="Arial" w:hAnsi="Arial"/>
          <w:sz w:val="34"/>
          <w:szCs w:val="34"/>
          <w:rtl w:val="0"/>
        </w:rPr>
        <w:t xml:space="preserve">CURSO 5</w:t>
      </w:r>
    </w:p>
    <w:p w:rsidR="00000000" w:rsidDel="00000000" w:rsidP="00000000" w:rsidRDefault="00000000" w:rsidRPr="00000000" w14:paraId="0000002D">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Área responsable</w:t>
      </w:r>
      <w:r w:rsidDel="00000000" w:rsidR="00000000" w:rsidRPr="00000000">
        <w:rPr>
          <w:rFonts w:ascii="Arial" w:cs="Arial" w:eastAsia="Arial" w:hAnsi="Arial"/>
          <w:rtl w:val="0"/>
        </w:rPr>
        <w:t xml:space="preserve">: Dirección Provincial de Relaciones con la Comunidad – Subsecretaría de Participación Ciudadana</w:t>
      </w:r>
    </w:p>
    <w:p w:rsidR="00000000" w:rsidDel="00000000" w:rsidP="00000000" w:rsidRDefault="00000000" w:rsidRPr="00000000" w14:paraId="0000002E">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Nombre de la capacitación</w:t>
      </w:r>
      <w:r w:rsidDel="00000000" w:rsidR="00000000" w:rsidRPr="00000000">
        <w:rPr>
          <w:rFonts w:ascii="Arial" w:cs="Arial" w:eastAsia="Arial" w:hAnsi="Arial"/>
          <w:rtl w:val="0"/>
        </w:rPr>
        <w:t xml:space="preserve">: Curso de Prevención Integral de las Violencias y Abordaje de la Violencia de Género</w:t>
      </w:r>
    </w:p>
    <w:p w:rsidR="00000000" w:rsidDel="00000000" w:rsidP="00000000" w:rsidRDefault="00000000" w:rsidRPr="00000000" w14:paraId="0000002F">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Descripción</w:t>
      </w:r>
      <w:r w:rsidDel="00000000" w:rsidR="00000000" w:rsidRPr="00000000">
        <w:rPr>
          <w:rFonts w:ascii="Arial" w:cs="Arial" w:eastAsia="Arial" w:hAnsi="Arial"/>
          <w:rtl w:val="0"/>
        </w:rPr>
        <w:t xml:space="preserve">: El curso propone un abordaje integral de las violencias desde la perspectiva de la seguridad ciudadana y los derechos humanos, incorporando la mirada de género como herramienta clave para el análisis de desigualdades y relaciones de poder. Promueve la sensibilización, la participación comunitaria y la construcción de prácticas preventivas, brindando herramientas para la intervención y el fortalecimiento de políticas públicas orientadas a la erradicación de las violencias y discriminaciones.</w:t>
      </w:r>
    </w:p>
    <w:p w:rsidR="00000000" w:rsidDel="00000000" w:rsidP="00000000" w:rsidRDefault="00000000" w:rsidRPr="00000000" w14:paraId="00000030">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Destinatarios</w:t>
      </w:r>
      <w:r w:rsidDel="00000000" w:rsidR="00000000" w:rsidRPr="00000000">
        <w:rPr>
          <w:rFonts w:ascii="Arial" w:cs="Arial" w:eastAsia="Arial" w:hAnsi="Arial"/>
          <w:rtl w:val="0"/>
        </w:rPr>
        <w:t xml:space="preserve">: Personal docente y no docente; trabajadores de la administración pública; fuerzas de seguridad; agentes municipales, provinciales y/o nacionales; público en general.</w:t>
      </w:r>
    </w:p>
    <w:p w:rsidR="00000000" w:rsidDel="00000000" w:rsidP="00000000" w:rsidRDefault="00000000" w:rsidRPr="00000000" w14:paraId="00000031">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Modalidad</w:t>
      </w:r>
      <w:r w:rsidDel="00000000" w:rsidR="00000000" w:rsidRPr="00000000">
        <w:rPr>
          <w:rFonts w:ascii="Arial" w:cs="Arial" w:eastAsia="Arial" w:hAnsi="Arial"/>
          <w:rtl w:val="0"/>
        </w:rPr>
        <w:t xml:space="preserve">: Presencial</w:t>
      </w:r>
    </w:p>
    <w:p w:rsidR="00000000" w:rsidDel="00000000" w:rsidP="00000000" w:rsidRDefault="00000000" w:rsidRPr="00000000" w14:paraId="00000032">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16 horas reloj (24 horas cátedra)</w:t>
      </w:r>
    </w:p>
    <w:p w:rsidR="00000000" w:rsidDel="00000000" w:rsidP="00000000" w:rsidRDefault="00000000" w:rsidRPr="00000000" w14:paraId="00000033">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Ediciones</w:t>
      </w:r>
      <w:r w:rsidDel="00000000" w:rsidR="00000000" w:rsidRPr="00000000">
        <w:rPr>
          <w:rFonts w:ascii="Arial" w:cs="Arial" w:eastAsia="Arial" w:hAnsi="Arial"/>
          <w:rtl w:val="0"/>
        </w:rPr>
        <w:t xml:space="preserve">: Dos (2) ediciones anuales</w:t>
      </w:r>
    </w:p>
    <w:p w:rsidR="00000000" w:rsidDel="00000000" w:rsidP="00000000" w:rsidRDefault="00000000" w:rsidRPr="00000000" w14:paraId="00000034">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Fechas tentativas</w:t>
      </w:r>
      <w:r w:rsidDel="00000000" w:rsidR="00000000" w:rsidRPr="00000000">
        <w:rPr>
          <w:rFonts w:ascii="Arial" w:cs="Arial" w:eastAsia="Arial" w:hAnsi="Arial"/>
          <w:rtl w:val="0"/>
        </w:rPr>
        <w:t xml:space="preserve">: • 1.ª edición: 9 de marzo al 30 de mayo de 2026 • 2.ª edición: 3 de agosto al 23 de octubre de 2026</w:t>
      </w:r>
    </w:p>
    <w:p w:rsidR="00000000" w:rsidDel="00000000" w:rsidP="00000000" w:rsidRDefault="00000000" w:rsidRPr="00000000" w14:paraId="00000035">
      <w:pPr>
        <w:spacing w:after="240" w:before="240" w:line="360" w:lineRule="auto"/>
        <w:jc w:val="both"/>
        <w:rPr>
          <w:rFonts w:ascii="Arial" w:cs="Arial" w:eastAsia="Arial" w:hAnsi="Arial"/>
        </w:rPr>
      </w:pPr>
      <w:r w:rsidDel="00000000" w:rsidR="00000000" w:rsidRPr="00000000">
        <w:rPr>
          <w:rFonts w:ascii="Arial" w:cs="Arial" w:eastAsia="Arial" w:hAnsi="Arial"/>
          <w:b w:val="1"/>
          <w:bCs w:val="1"/>
          <w:rtl w:val="0"/>
        </w:rPr>
        <w:t xml:space="preserve">Contacto</w:t>
      </w:r>
      <w:r w:rsidDel="00000000" w:rsidR="00000000" w:rsidRPr="00000000">
        <w:rPr>
          <w:rFonts w:ascii="Arial" w:cs="Arial" w:eastAsia="Arial" w:hAnsi="Arial"/>
          <w:rtl w:val="0"/>
        </w:rPr>
        <w:t xml:space="preserve">: Tel. (221) 429-3470 · subseparticipacionciudadana@gmail.com</w:t>
      </w:r>
    </w:p>
    <w:p w:rsidR="00000000" w:rsidDel="00000000" w:rsidP="00000000" w:rsidRDefault="00000000" w:rsidRPr="00000000" w14:paraId="00000036">
      <w:pPr>
        <w:spacing w:after="0" w:line="360" w:lineRule="auto"/>
        <w:jc w:val="both"/>
        <w:rPr>
          <w:rFonts w:ascii="Arial" w:cs="Arial" w:eastAsia="Arial" w:hAnsi="Arial"/>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rPr>
  </w:style>
  <w:style w:type="character" w:styleId="Ttulo1Car" w:customStyle="1">
    <w:name w:val="Título 1 Car"/>
    <w:basedOn w:val="Fuentedeprrafopredeter"/>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naQps+FSMN34esqeNbaH5GWGg==">CgMxLjAyDmguY3loZ2FpMmE4ZXNzMg5oLnZjczc5YWJidDBrdDIOaC41azZpZWtzOW12eHEyDmguZHJ3ODc0amVpMnJuOAByITF5bkxyQ2haYzJKX3NaQlQ1U2t2TE5DUG5PWmtjazlMdg==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2026-02-03T13:09:00Z</dcterms:created>
  <dc:creator>Lau FERRARI</dc:creator>
</cp:coreProperties>
</file>